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0F95" w14:textId="1E322B87" w:rsidR="000522A9" w:rsidRDefault="00767ADB">
      <w:r w:rsidRPr="00075049">
        <w:rPr>
          <w:noProof/>
        </w:rPr>
        <w:drawing>
          <wp:inline distT="0" distB="0" distL="0" distR="0" wp14:anchorId="4091A2D3" wp14:editId="035A2AD8">
            <wp:extent cx="2653913" cy="695325"/>
            <wp:effectExtent l="0" t="0" r="0" b="0"/>
            <wp:docPr id="3" name="Picture 2" descr="Return On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eturn On Disability"/>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292" cy="697258"/>
                    </a:xfrm>
                    <a:prstGeom prst="rect">
                      <a:avLst/>
                    </a:prstGeom>
                  </pic:spPr>
                </pic:pic>
              </a:graphicData>
            </a:graphic>
          </wp:inline>
        </w:drawing>
      </w:r>
    </w:p>
    <w:p w14:paraId="0596C940" w14:textId="75560AAB" w:rsidR="00F77FD6" w:rsidRDefault="00BE2D02" w:rsidP="00A81EA3">
      <w:pPr>
        <w:pStyle w:val="Title"/>
      </w:pPr>
      <w:r>
        <w:t>Disability Demographics</w:t>
      </w:r>
      <w:r w:rsidR="00B25534">
        <w:t xml:space="preserve"> and Preferences</w:t>
      </w:r>
      <w:r w:rsidR="00A81EA3">
        <w:rPr>
          <w:rStyle w:val="FootnoteReference"/>
        </w:rPr>
        <w:footnoteReference w:id="1"/>
      </w:r>
    </w:p>
    <w:p w14:paraId="70596978" w14:textId="18C04CD9" w:rsidR="00F77FD6" w:rsidRDefault="00BE2D02" w:rsidP="00F77FD6">
      <w:pPr>
        <w:pStyle w:val="Heading2"/>
      </w:pPr>
      <w:bookmarkStart w:id="0" w:name="_Toc116980573"/>
      <w:bookmarkStart w:id="1" w:name="_Toc117088719"/>
      <w:r>
        <w:t>Unpacking Use-Cases, Needs, and Patterns</w:t>
      </w:r>
      <w:r w:rsidR="00F77FD6">
        <w:rPr>
          <w:rStyle w:val="FootnoteReference"/>
        </w:rPr>
        <w:footnoteReference w:id="2"/>
      </w:r>
      <w:bookmarkEnd w:id="0"/>
      <w:bookmarkEnd w:id="1"/>
    </w:p>
    <w:p w14:paraId="29BA63B4" w14:textId="37D0A3A8" w:rsidR="00F77FD6" w:rsidRDefault="00BE2D02" w:rsidP="00F77FD6">
      <w:pPr>
        <w:pStyle w:val="Heading3"/>
        <w:rPr>
          <w:lang w:val="en-CA"/>
        </w:rPr>
      </w:pPr>
      <w:r>
        <w:rPr>
          <w:lang w:val="en-CA"/>
        </w:rPr>
        <w:t>Thinking Across Disability Use-Cases</w:t>
      </w:r>
    </w:p>
    <w:p w14:paraId="18B6D293" w14:textId="3674F6ED" w:rsidR="005057A4" w:rsidRDefault="0092336A" w:rsidP="005057A4">
      <w:pPr>
        <w:ind w:left="2160"/>
        <w:rPr>
          <w:lang w:val="en-CA"/>
        </w:rPr>
      </w:pPr>
      <w:r>
        <w:rPr>
          <w:lang w:val="en-CA"/>
        </w:rPr>
        <w:t xml:space="preserve">There is often an assumption that the shopping preferences and behaviors of Persons with Disabilities (PWD) are different from that of the non-disabled population. </w:t>
      </w:r>
      <w:r w:rsidR="00BE2D02">
        <w:rPr>
          <w:lang w:val="en-CA"/>
        </w:rPr>
        <w:t xml:space="preserve">Last year, for example, </w:t>
      </w:r>
      <w:r w:rsidR="000B299D">
        <w:rPr>
          <w:lang w:val="en-CA"/>
        </w:rPr>
        <w:t xml:space="preserve">Fable released a study indicating that PWD who use </w:t>
      </w:r>
      <w:r w:rsidR="00E76391">
        <w:rPr>
          <w:lang w:val="en-CA"/>
        </w:rPr>
        <w:t>assistive</w:t>
      </w:r>
      <w:r w:rsidR="000B299D">
        <w:rPr>
          <w:lang w:val="en-CA"/>
        </w:rPr>
        <w:t xml:space="preserve"> technology (AT), shop online at nearly twice the rate of the general population.</w:t>
      </w:r>
      <w:r w:rsidR="000B299D">
        <w:rPr>
          <w:rStyle w:val="FootnoteReference"/>
          <w:lang w:val="en-CA"/>
        </w:rPr>
        <w:footnoteReference w:id="3"/>
      </w:r>
      <w:r w:rsidR="00077C0A">
        <w:rPr>
          <w:lang w:val="en-CA"/>
        </w:rPr>
        <w:t xml:space="preserve"> </w:t>
      </w:r>
    </w:p>
    <w:p w14:paraId="751F4053" w14:textId="7862DDC1" w:rsidR="00C238FD" w:rsidRDefault="00077C0A" w:rsidP="00DE6C18">
      <w:pPr>
        <w:ind w:left="2160"/>
        <w:rPr>
          <w:lang w:val="en-CA"/>
        </w:rPr>
      </w:pPr>
      <w:r>
        <w:rPr>
          <w:lang w:val="en-CA"/>
        </w:rPr>
        <w:t xml:space="preserve">In contrast, in </w:t>
      </w:r>
      <w:r w:rsidR="00C238FD">
        <w:rPr>
          <w:lang w:val="en-CA"/>
        </w:rPr>
        <w:t xml:space="preserve">a survey of over 2000 US residents, split evenly among PWD and non-PWD, </w:t>
      </w:r>
      <w:r w:rsidR="000314A4">
        <w:rPr>
          <w:lang w:val="en-CA"/>
        </w:rPr>
        <w:t>The Return on Disability Group (</w:t>
      </w:r>
      <w:r w:rsidR="00C238FD">
        <w:rPr>
          <w:lang w:val="en-CA"/>
        </w:rPr>
        <w:t>RoDG</w:t>
      </w:r>
      <w:r w:rsidR="000314A4">
        <w:rPr>
          <w:lang w:val="en-CA"/>
        </w:rPr>
        <w:t>)</w:t>
      </w:r>
      <w:r w:rsidR="00C238FD">
        <w:rPr>
          <w:lang w:val="en-CA"/>
        </w:rPr>
        <w:t xml:space="preserve"> asked a series of questions on retail, banking, and grocery habits.</w:t>
      </w:r>
      <w:r w:rsidR="00C238FD">
        <w:rPr>
          <w:rStyle w:val="FootnoteReference"/>
          <w:lang w:val="en-CA"/>
        </w:rPr>
        <w:footnoteReference w:id="4"/>
      </w:r>
      <w:r w:rsidR="00C238FD">
        <w:rPr>
          <w:lang w:val="en-CA"/>
        </w:rPr>
        <w:t xml:space="preserve"> These questions included frequency of use and preferred channels. Survey findings revealed a consistent pattern: the behavior of PWD and non-PWD was almost always statistically the same, </w:t>
      </w:r>
      <w:r w:rsidR="005057A4">
        <w:rPr>
          <w:lang w:val="en-CA"/>
        </w:rPr>
        <w:t xml:space="preserve">save </w:t>
      </w:r>
      <w:r w:rsidR="00C238FD">
        <w:rPr>
          <w:lang w:val="en-CA"/>
        </w:rPr>
        <w:t xml:space="preserve">a small increase in </w:t>
      </w:r>
      <w:r w:rsidR="005057A4">
        <w:rPr>
          <w:lang w:val="en-CA"/>
        </w:rPr>
        <w:t>the frequency of digital</w:t>
      </w:r>
      <w:r w:rsidR="00C238FD">
        <w:rPr>
          <w:lang w:val="en-CA"/>
        </w:rPr>
        <w:t xml:space="preserve"> retail over that of in-person shopping. (see Figure 1).</w:t>
      </w:r>
      <w:r w:rsidR="005057A4">
        <w:rPr>
          <w:lang w:val="en-CA"/>
        </w:rPr>
        <w:t xml:space="preserve"> In the RoDG survey, this increase in digital shopping was driven especially by those with physical disabilities pertaining to mobility, pain, and/or dexterity.</w:t>
      </w:r>
    </w:p>
    <w:p w14:paraId="0F5AE446" w14:textId="5DF2B6B0" w:rsidR="00FB1757" w:rsidRDefault="00FB1757" w:rsidP="00FB1757">
      <w:pPr>
        <w:pStyle w:val="Caption"/>
        <w:keepNext/>
      </w:pPr>
      <w:r>
        <w:lastRenderedPageBreak/>
        <w:t xml:space="preserve">Figure </w:t>
      </w:r>
      <w:r>
        <w:fldChar w:fldCharType="begin"/>
      </w:r>
      <w:r>
        <w:instrText xml:space="preserve"> SEQ Figure \* ARABIC </w:instrText>
      </w:r>
      <w:r>
        <w:fldChar w:fldCharType="separate"/>
      </w:r>
      <w:r w:rsidR="000C6BAC">
        <w:rPr>
          <w:noProof/>
        </w:rPr>
        <w:t>1</w:t>
      </w:r>
      <w:r>
        <w:fldChar w:fldCharType="end"/>
      </w:r>
      <w:r>
        <w:t>: Frequency of Shopping done Online</w:t>
      </w:r>
    </w:p>
    <w:p w14:paraId="33BFDA9C" w14:textId="421833B5" w:rsidR="00FB1757" w:rsidRDefault="00C238FD" w:rsidP="00FB1757">
      <w:pPr>
        <w:ind w:left="720"/>
        <w:rPr>
          <w:lang w:val="en-CA"/>
        </w:rPr>
      </w:pPr>
      <w:r>
        <w:rPr>
          <w:noProof/>
        </w:rPr>
        <w:drawing>
          <wp:inline distT="0" distB="0" distL="0" distR="0" wp14:anchorId="34A66A08" wp14:editId="6F3E72DF">
            <wp:extent cx="5943600" cy="3563620"/>
            <wp:effectExtent l="0" t="0" r="0" b="0"/>
            <wp:docPr id="1" name="Picture 1" descr="A stacked bar chart titled &quot;How much of your retail shopping is online&quot; compares the percentage of responses between two groups: Non-PWD (individuals without disabilities) and PWD (individuals with disabilities). Each bar represents four categories of shopping frequency: &quot;None at all,&quot; &quot;A little,&quot; &quot;A moderate amount,&quot; and &quot;A great deal.&quot;&#10;&#10;For Non-PWD:&#10;&#10;&quot;None at all&quot; accounts for 6.2%.&#10;&quot;A little&quot; accounts for 27.0%.&#10;&quot;A moderate amount&quot; accounts for 36.1%.&#10;&quot;A great deal&quot; accounts for 30.7%.&#10;For PWD:&#10;&#10;&quot;None at all&quot; accounts for 7.1%.&#10;&quot;A little&quot; accounts for 26.7%.&#10;&quot;A moderate amount&quot; accounts for 31.4%.&#10;&quot;A great deal&quot; accounts for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cked bar chart titled &quot;How much of your retail shopping is online&quot; compares the percentage of responses between two groups: Non-PWD (individuals without disabilities) and PWD (individuals with disabilities). Each bar represents four categories of shopping frequency: &quot;None at all,&quot; &quot;A little,&quot; &quot;A moderate amount,&quot; and &quot;A great deal.&quot;&#10;&#10;For Non-PWD:&#10;&#10;&quot;None at all&quot; accounts for 6.2%.&#10;&quot;A little&quot; accounts for 27.0%.&#10;&quot;A moderate amount&quot; accounts for 36.1%.&#10;&quot;A great deal&quot; accounts for 30.7%.&#10;For PWD:&#10;&#10;&quot;None at all&quot; accounts for 7.1%.&#10;&quot;A little&quot; accounts for 26.7%.&#10;&quot;A moderate amount&quot; accounts for 31.4%.&#10;&quot;A great deal&quot; accounts for 3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63620"/>
                    </a:xfrm>
                    <a:prstGeom prst="rect">
                      <a:avLst/>
                    </a:prstGeom>
                    <a:noFill/>
                    <a:ln>
                      <a:noFill/>
                    </a:ln>
                  </pic:spPr>
                </pic:pic>
              </a:graphicData>
            </a:graphic>
          </wp:inline>
        </w:drawing>
      </w:r>
    </w:p>
    <w:p w14:paraId="3DF0348A" w14:textId="311CC706" w:rsidR="00DE6C18" w:rsidRDefault="00DE6C18" w:rsidP="00DE6C18">
      <w:pPr>
        <w:ind w:left="2160"/>
        <w:rPr>
          <w:lang w:val="en-CA"/>
        </w:rPr>
      </w:pPr>
      <w:r>
        <w:rPr>
          <w:lang w:val="en-CA"/>
        </w:rPr>
        <w:t>So, why such a difference in findings? Like so many customer insights, the difference comes down to who was asked.</w:t>
      </w:r>
    </w:p>
    <w:p w14:paraId="0202C0A4" w14:textId="62875A71" w:rsidR="007D1545" w:rsidRDefault="00DE6C18" w:rsidP="00A81EA3">
      <w:pPr>
        <w:pStyle w:val="Heading3"/>
        <w:rPr>
          <w:lang w:val="en-CA"/>
        </w:rPr>
      </w:pPr>
      <w:r>
        <w:rPr>
          <w:lang w:val="en-CA"/>
        </w:rPr>
        <w:t>AT vs PWD</w:t>
      </w:r>
    </w:p>
    <w:p w14:paraId="42965240" w14:textId="0A21BA49" w:rsidR="000D5C48" w:rsidRDefault="00215117" w:rsidP="000C6BAC">
      <w:pPr>
        <w:ind w:left="2160"/>
        <w:rPr>
          <w:lang w:val="en-CA"/>
        </w:rPr>
      </w:pPr>
      <w:r>
        <w:rPr>
          <w:lang w:val="en-CA"/>
        </w:rPr>
        <w:t>Needless to say, disability</w:t>
      </w:r>
      <w:r w:rsidR="00F945C5">
        <w:rPr>
          <w:lang w:val="en-CA"/>
        </w:rPr>
        <w:t xml:space="preserve"> is a broad demographic category</w:t>
      </w:r>
      <w:r w:rsidR="00D462FA">
        <w:rPr>
          <w:lang w:val="en-CA"/>
        </w:rPr>
        <w:t>, both in terms of disability type, its impact on day-to-day life, and potential assistive devices with which to interact with retail (and other) environments.</w:t>
      </w:r>
      <w:r w:rsidR="003F1CA6">
        <w:rPr>
          <w:lang w:val="en-CA"/>
        </w:rPr>
        <w:t xml:space="preserve"> However, the use frequency of </w:t>
      </w:r>
      <w:r w:rsidR="00D03135">
        <w:rPr>
          <w:lang w:val="en-CA"/>
        </w:rPr>
        <w:t>specific AT can vary wildly, and some are unlikely to see much use outside a few specific disability-related types. The Fable study appears to rely primarily on screen-reader usage. Such technology use is quite infrequent: a working estimate for such usage amongst PWD is only about 2%.</w:t>
      </w:r>
      <w:r w:rsidR="00D03135">
        <w:rPr>
          <w:rStyle w:val="FootnoteReference"/>
          <w:lang w:val="en-CA"/>
        </w:rPr>
        <w:footnoteReference w:id="5"/>
      </w:r>
      <w:r w:rsidR="00526FD5">
        <w:rPr>
          <w:lang w:val="en-CA"/>
        </w:rPr>
        <w:t xml:space="preserve"> This would translate to be approximately 0.5% of the total population, assuming limited use outside of disability.</w:t>
      </w:r>
      <w:r w:rsidR="008C0C77">
        <w:rPr>
          <w:lang w:val="en-CA"/>
        </w:rPr>
        <w:t xml:space="preserve"> For a survey such as that of RoDG, this frequency is so small that it is likely unobservable outside standard errors of margin.</w:t>
      </w:r>
    </w:p>
    <w:p w14:paraId="11E0058C" w14:textId="7BCCFC94" w:rsidR="00A81EA3" w:rsidRDefault="004E1051" w:rsidP="00A81EA3">
      <w:pPr>
        <w:pStyle w:val="Heading3"/>
        <w:rPr>
          <w:lang w:val="en-CA"/>
        </w:rPr>
      </w:pPr>
      <w:r>
        <w:rPr>
          <w:lang w:val="en-CA"/>
        </w:rPr>
        <w:lastRenderedPageBreak/>
        <w:t>Why this Matters</w:t>
      </w:r>
    </w:p>
    <w:p w14:paraId="260FA24D" w14:textId="2E6A05E6" w:rsidR="004E5989" w:rsidRDefault="001666F7" w:rsidP="00381E51">
      <w:pPr>
        <w:ind w:left="2160"/>
        <w:rPr>
          <w:lang w:val="en-CA"/>
        </w:rPr>
      </w:pPr>
      <w:r>
        <w:rPr>
          <w:lang w:val="en-CA"/>
        </w:rPr>
        <w:t xml:space="preserve">In RoDG conversations with clients, many conversations of digital design are centered on the needs of those using assistive technology – almost always screen readers. Regulation often reinforces this conversation. However, getting this part of design right </w:t>
      </w:r>
      <w:r w:rsidR="000A7737">
        <w:rPr>
          <w:lang w:val="en-CA"/>
        </w:rPr>
        <w:t>only represents a tiny fraction of designing for, and from, disability. To maximize impact on consumer experience, it is essential</w:t>
      </w:r>
      <w:r w:rsidR="00F56F29">
        <w:rPr>
          <w:lang w:val="en-CA"/>
        </w:rPr>
        <w:t xml:space="preserve"> to understand use-cases from across disability, and from different types of assistive technology. This does not mean the needs of screen reader users should be ignored, rather, they should be seen as a small part of a larger design process meant to maximize useability across all potential consumers.</w:t>
      </w:r>
    </w:p>
    <w:p w14:paraId="202B33D6" w14:textId="77777777" w:rsidR="00D149F8" w:rsidRPr="00D149F8" w:rsidRDefault="00D149F8" w:rsidP="00D149F8">
      <w:pPr>
        <w:pStyle w:val="Heading3"/>
      </w:pPr>
      <w:r w:rsidRPr="00D149F8">
        <w:t>About the Authors</w:t>
      </w:r>
    </w:p>
    <w:p w14:paraId="347055A9" w14:textId="0A8EB76E" w:rsidR="00D149F8" w:rsidRPr="00D149F8" w:rsidRDefault="00D149F8" w:rsidP="00D149F8">
      <w:pPr>
        <w:ind w:left="2160"/>
        <w:rPr>
          <w:bCs/>
          <w:lang w:val="en-CA"/>
        </w:rPr>
      </w:pPr>
      <w:r w:rsidRPr="00D149F8">
        <w:rPr>
          <w:bCs/>
          <w:lang w:val="en-CA"/>
        </w:rPr>
        <w:t>Mark Winward, Ph.D., Managing Director of Research and Design at RoDG is an experienced researcher in the academic sector, who has conducted qualitative research with under-represented communities in multiple countries and in multiple languages. Drawing on years of research and advisory work with leading organizations—including major banks, telecommunications companies, and global consumer brands, Mark delivers actionable insights that help businesses unlock the full potential of the disability market.</w:t>
      </w:r>
    </w:p>
    <w:p w14:paraId="549301B8" w14:textId="77777777" w:rsidR="00D149F8" w:rsidRPr="00D149F8" w:rsidRDefault="00D149F8" w:rsidP="00D149F8">
      <w:pPr>
        <w:ind w:left="2160"/>
        <w:rPr>
          <w:bCs/>
          <w:lang w:val="en-CA"/>
        </w:rPr>
      </w:pPr>
      <w:r w:rsidRPr="00D149F8">
        <w:rPr>
          <w:bCs/>
          <w:lang w:val="en-CA"/>
        </w:rPr>
        <w:t>Rich Donovan, CEO/Founder at RoDG is a globally recognized subject matter expert on the convergence of disability, user delight, and corporate profitability. He has spent more than 17 years defining and unlocking the economic value of the disability market. He is a person with a disability.</w:t>
      </w:r>
    </w:p>
    <w:p w14:paraId="3E37C7E3" w14:textId="79489A94" w:rsidR="00D149F8" w:rsidRPr="008271CF" w:rsidRDefault="00D149F8" w:rsidP="008271CF">
      <w:pPr>
        <w:ind w:left="2160"/>
        <w:rPr>
          <w:bCs/>
          <w:lang w:val="en-CA"/>
        </w:rPr>
      </w:pPr>
      <w:r w:rsidRPr="00D149F8">
        <w:rPr>
          <w:bCs/>
          <w:lang w:val="en-CA"/>
        </w:rPr>
        <w:t xml:space="preserve">RoDG’s public research empowers executives and policymakers to integrate disability into core business strategy, driving both customer and employee experience. For more research and practical tools, visit </w:t>
      </w:r>
      <w:hyperlink r:id="rId10" w:history="1">
        <w:r w:rsidRPr="00D149F8">
          <w:rPr>
            <w:rStyle w:val="Hyperlink"/>
            <w:bCs/>
            <w:lang w:val="en-CA"/>
          </w:rPr>
          <w:t>www.rod-group.com</w:t>
        </w:r>
      </w:hyperlink>
      <w:r w:rsidRPr="00D149F8">
        <w:rPr>
          <w:bCs/>
          <w:lang w:val="en-CA"/>
        </w:rPr>
        <w:t xml:space="preserve">. </w:t>
      </w:r>
    </w:p>
    <w:sectPr w:rsidR="00D149F8" w:rsidRPr="008271CF" w:rsidSect="00C10179">
      <w:headerReference w:type="default" r:id="rId11"/>
      <w:footerReference w:type="default" r:id="rId12"/>
      <w:pgSz w:w="12240" w:h="15840"/>
      <w:pgMar w:top="1008" w:right="994" w:bottom="1008"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C53B" w14:textId="77777777" w:rsidR="002775BF" w:rsidRDefault="002775BF" w:rsidP="00767ADB">
      <w:pPr>
        <w:spacing w:after="0" w:line="240" w:lineRule="auto"/>
      </w:pPr>
      <w:r>
        <w:separator/>
      </w:r>
    </w:p>
    <w:p w14:paraId="04770D27" w14:textId="77777777" w:rsidR="002775BF" w:rsidRDefault="002775BF"/>
  </w:endnote>
  <w:endnote w:type="continuationSeparator" w:id="0">
    <w:p w14:paraId="4A9BFF5B" w14:textId="77777777" w:rsidR="002775BF" w:rsidRDefault="002775BF" w:rsidP="00767ADB">
      <w:pPr>
        <w:spacing w:after="0" w:line="240" w:lineRule="auto"/>
      </w:pPr>
      <w:r>
        <w:continuationSeparator/>
      </w:r>
    </w:p>
    <w:p w14:paraId="5DA01734" w14:textId="77777777" w:rsidR="002775BF" w:rsidRDefault="00277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BAFF" w14:textId="79021F4A" w:rsidR="00767ADB" w:rsidRDefault="00117880" w:rsidP="00117880">
    <w:pPr>
      <w:pStyle w:val="Footer"/>
      <w:tabs>
        <w:tab w:val="clear" w:pos="4680"/>
        <w:tab w:val="center" w:pos="0"/>
      </w:tabs>
    </w:pPr>
    <w:r>
      <w:rPr>
        <w:sz w:val="18"/>
        <w:szCs w:val="18"/>
      </w:rPr>
      <w:tab/>
    </w:r>
    <w:r w:rsidR="00C10179" w:rsidRPr="00186199">
      <w:tab/>
    </w:r>
    <w:r w:rsidR="000C7BF8" w:rsidRPr="004E6C7E">
      <w:rPr>
        <w:b/>
        <w:bCs/>
      </w:rPr>
      <w:fldChar w:fldCharType="begin"/>
    </w:r>
    <w:r w:rsidR="000C7BF8" w:rsidRPr="004E6C7E">
      <w:rPr>
        <w:b/>
        <w:bCs/>
      </w:rPr>
      <w:instrText xml:space="preserve"> PAGE   \* MERGEFORMAT </w:instrText>
    </w:r>
    <w:r w:rsidR="000C7BF8" w:rsidRPr="004E6C7E">
      <w:rPr>
        <w:b/>
        <w:bCs/>
      </w:rPr>
      <w:fldChar w:fldCharType="separate"/>
    </w:r>
    <w:r w:rsidR="000C7BF8">
      <w:rPr>
        <w:b/>
        <w:bCs/>
      </w:rPr>
      <w:t>2</w:t>
    </w:r>
    <w:r w:rsidR="000C7BF8" w:rsidRPr="004E6C7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D8C5" w14:textId="77777777" w:rsidR="002775BF" w:rsidRDefault="002775BF" w:rsidP="00767ADB">
      <w:pPr>
        <w:spacing w:after="0" w:line="240" w:lineRule="auto"/>
      </w:pPr>
      <w:r>
        <w:separator/>
      </w:r>
    </w:p>
    <w:p w14:paraId="2588F2FB" w14:textId="77777777" w:rsidR="002775BF" w:rsidRDefault="002775BF"/>
  </w:footnote>
  <w:footnote w:type="continuationSeparator" w:id="0">
    <w:p w14:paraId="19208D2B" w14:textId="77777777" w:rsidR="002775BF" w:rsidRDefault="002775BF" w:rsidP="00767ADB">
      <w:pPr>
        <w:spacing w:after="0" w:line="240" w:lineRule="auto"/>
      </w:pPr>
      <w:r>
        <w:continuationSeparator/>
      </w:r>
    </w:p>
    <w:p w14:paraId="10D46525" w14:textId="77777777" w:rsidR="002775BF" w:rsidRDefault="002775BF"/>
  </w:footnote>
  <w:footnote w:id="1">
    <w:p w14:paraId="1F8B048B" w14:textId="07A35BA1" w:rsidR="00A81EA3" w:rsidRPr="00A81EA3" w:rsidRDefault="00A81EA3" w:rsidP="00A81EA3">
      <w:pPr>
        <w:pStyle w:val="FootnoteText"/>
        <w:rPr>
          <w:lang w:val="en-US"/>
        </w:rPr>
      </w:pPr>
      <w:r>
        <w:rPr>
          <w:rStyle w:val="FootnoteReference"/>
        </w:rPr>
        <w:footnoteRef/>
      </w:r>
      <w:r>
        <w:t xml:space="preserve"> </w:t>
      </w:r>
      <w:r w:rsidRPr="00A81EA3">
        <w:rPr>
          <w:lang w:val="en-US"/>
        </w:rPr>
        <w:t>This document complies with all applicable EN 301 549, WCAG 2.0 and 2.1 Level A and Level AA guidelines for accessible digital documents. For alternative formats, contact Return on Disability at mark@rod-group.com</w:t>
      </w:r>
    </w:p>
    <w:p w14:paraId="00C5CE89" w14:textId="333A0CD5" w:rsidR="00A81EA3" w:rsidRDefault="00A81EA3">
      <w:pPr>
        <w:pStyle w:val="FootnoteText"/>
      </w:pPr>
    </w:p>
  </w:footnote>
  <w:footnote w:id="2">
    <w:p w14:paraId="31301748" w14:textId="615F2FE6" w:rsidR="00F77FD6" w:rsidRDefault="00F77FD6" w:rsidP="00F77FD6">
      <w:pPr>
        <w:pStyle w:val="FootnoteText"/>
      </w:pPr>
      <w:r>
        <w:rPr>
          <w:rStyle w:val="FootnoteReference"/>
        </w:rPr>
        <w:footnoteRef/>
      </w:r>
      <w:r>
        <w:t xml:space="preserve"> © The Return on Disability Group. All rights reserved. The information contained herein is not represented or warranted to be accurate, correct, complete or timely. This report is for information purposes only and should not be considered a solicitation to buy or sell any security.</w:t>
      </w:r>
    </w:p>
    <w:p w14:paraId="0FB27A32" w14:textId="77777777" w:rsidR="00FB163F" w:rsidRPr="00846DFA" w:rsidRDefault="00FB163F" w:rsidP="00F77FD6">
      <w:pPr>
        <w:pStyle w:val="FootnoteText"/>
        <w:rPr>
          <w:lang w:val="en-US"/>
        </w:rPr>
      </w:pPr>
    </w:p>
  </w:footnote>
  <w:footnote w:id="3">
    <w:p w14:paraId="1100295E" w14:textId="412536E9" w:rsidR="000B299D" w:rsidRDefault="000B299D">
      <w:pPr>
        <w:pStyle w:val="FootnoteText"/>
      </w:pPr>
      <w:r>
        <w:rPr>
          <w:rStyle w:val="FootnoteReference"/>
        </w:rPr>
        <w:footnoteRef/>
      </w:r>
      <w:r>
        <w:t xml:space="preserve"> See “Insights: The state of online shopping for people with disabilities” available at </w:t>
      </w:r>
      <w:hyperlink r:id="rId1" w:history="1">
        <w:r w:rsidR="00D15BBD" w:rsidRPr="00D54EEC">
          <w:rPr>
            <w:rStyle w:val="Hyperlink"/>
          </w:rPr>
          <w:t>https://makeitfable.com/article/insights-the-state-of-online-shopping-for-people-with-disabilities/</w:t>
        </w:r>
      </w:hyperlink>
    </w:p>
    <w:p w14:paraId="1E35ED1C" w14:textId="77777777" w:rsidR="00D15BBD" w:rsidRDefault="00D15BBD">
      <w:pPr>
        <w:pStyle w:val="FootnoteText"/>
      </w:pPr>
    </w:p>
  </w:footnote>
  <w:footnote w:id="4">
    <w:p w14:paraId="45DC7847" w14:textId="60AB6643" w:rsidR="00C238FD" w:rsidRDefault="00C238FD">
      <w:pPr>
        <w:pStyle w:val="FootnoteText"/>
      </w:pPr>
      <w:r>
        <w:rPr>
          <w:rStyle w:val="FootnoteReference"/>
        </w:rPr>
        <w:footnoteRef/>
      </w:r>
      <w:r>
        <w:t xml:space="preserve"> Return on Disability survey, third quarter 2023. N=2200, divided between PWD and non-PWD.</w:t>
      </w:r>
    </w:p>
  </w:footnote>
  <w:footnote w:id="5">
    <w:p w14:paraId="42B3ED2F" w14:textId="15818C30" w:rsidR="00D03135" w:rsidRDefault="00D03135">
      <w:pPr>
        <w:pStyle w:val="FootnoteText"/>
      </w:pPr>
      <w:r>
        <w:rPr>
          <w:rStyle w:val="FootnoteReference"/>
        </w:rPr>
        <w:footnoteRef/>
      </w:r>
      <w:r>
        <w:t xml:space="preserve"> Based on the Canadian Survey on Disability, 2017. Available at </w:t>
      </w:r>
      <w:hyperlink r:id="rId2" w:history="1">
        <w:r w:rsidRPr="00D15BBD">
          <w:rPr>
            <w:rStyle w:val="Hyperlink"/>
          </w:rPr>
          <w:t>https://www150.statcan.gc.ca/n1/pub/89-654-x/89-654-x2021002-eng.htm.</w:t>
        </w:r>
      </w:hyperlink>
      <w:r w:rsidR="0077724B">
        <w:t xml:space="preserve"> Calculation is based on 11.7% of respondents using a phone, tablet, watch, or computer with specialized software or adaptations due to their disability, and 16.4% of this segment having a device with a screen reader.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96AC" w14:textId="5AC68DCF" w:rsidR="00A428A2" w:rsidRDefault="00767ADB" w:rsidP="00A428A2">
    <w:pPr>
      <w:pStyle w:val="Header"/>
      <w:tabs>
        <w:tab w:val="clear" w:pos="4680"/>
        <w:tab w:val="clear" w:pos="9360"/>
        <w:tab w:val="right" w:pos="10170"/>
        <w:tab w:val="left" w:pos="10252"/>
      </w:tabs>
    </w:pPr>
    <w:r w:rsidRPr="00C10179">
      <w:rPr>
        <w:b/>
        <w:bCs/>
      </w:rPr>
      <w:t>Return on Disability</w:t>
    </w:r>
    <w:r w:rsidRPr="00186199">
      <w:tab/>
    </w:r>
    <w:r w:rsidR="00314B04">
      <w:rPr>
        <w:b/>
        <w:bCs/>
        <w:sz w:val="18"/>
        <w:szCs w:val="18"/>
      </w:rPr>
      <w:t>Manager Representation Effects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E4BF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32F1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B6CA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0C34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3E59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C2AF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4EA7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8B9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8B4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866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30CE"/>
    <w:multiLevelType w:val="hybridMultilevel"/>
    <w:tmpl w:val="502E494C"/>
    <w:lvl w:ilvl="0" w:tplc="9F8E864E">
      <w:start w:val="1"/>
      <w:numFmt w:val="bullet"/>
      <w:pStyle w:val="Bulletedlist"/>
      <w:lvlText w:val=""/>
      <w:lvlJc w:val="left"/>
      <w:pPr>
        <w:tabs>
          <w:tab w:val="num" w:pos="720"/>
        </w:tabs>
        <w:ind w:left="720" w:hanging="360"/>
      </w:pPr>
      <w:rPr>
        <w:rFonts w:ascii="Webdings" w:hAnsi="Webdings" w:hint="default"/>
      </w:rPr>
    </w:lvl>
    <w:lvl w:ilvl="1" w:tplc="8F7C0CE8">
      <w:start w:val="1"/>
      <w:numFmt w:val="bullet"/>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5B567B"/>
    <w:multiLevelType w:val="hybridMultilevel"/>
    <w:tmpl w:val="EAC8B62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2" w15:restartNumberingAfterBreak="0">
    <w:nsid w:val="214C0C6E"/>
    <w:multiLevelType w:val="multilevel"/>
    <w:tmpl w:val="7E587AB6"/>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Letter"/>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3" w15:restartNumberingAfterBreak="0">
    <w:nsid w:val="4CE06F00"/>
    <w:multiLevelType w:val="hybridMultilevel"/>
    <w:tmpl w:val="2F08D5A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15:restartNumberingAfterBreak="0">
    <w:nsid w:val="61721B96"/>
    <w:multiLevelType w:val="multilevel"/>
    <w:tmpl w:val="FEEE9B1A"/>
    <w:lvl w:ilvl="0">
      <w:start w:val="1"/>
      <w:numFmt w:val="decimal"/>
      <w:pStyle w:val="Numberedlist"/>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5" w15:restartNumberingAfterBreak="0">
    <w:nsid w:val="6D7746F0"/>
    <w:multiLevelType w:val="multilevel"/>
    <w:tmpl w:val="86DAC174"/>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num w:numId="1" w16cid:durableId="2063013610">
    <w:abstractNumId w:val="13"/>
  </w:num>
  <w:num w:numId="2" w16cid:durableId="397748009">
    <w:abstractNumId w:val="11"/>
  </w:num>
  <w:num w:numId="3" w16cid:durableId="1593591563">
    <w:abstractNumId w:val="9"/>
  </w:num>
  <w:num w:numId="4" w16cid:durableId="2074623450">
    <w:abstractNumId w:val="7"/>
  </w:num>
  <w:num w:numId="5" w16cid:durableId="915936915">
    <w:abstractNumId w:val="6"/>
  </w:num>
  <w:num w:numId="6" w16cid:durableId="348265584">
    <w:abstractNumId w:val="5"/>
  </w:num>
  <w:num w:numId="7" w16cid:durableId="839009500">
    <w:abstractNumId w:val="4"/>
  </w:num>
  <w:num w:numId="8" w16cid:durableId="339478072">
    <w:abstractNumId w:val="8"/>
  </w:num>
  <w:num w:numId="9" w16cid:durableId="952250032">
    <w:abstractNumId w:val="3"/>
  </w:num>
  <w:num w:numId="10" w16cid:durableId="1298098673">
    <w:abstractNumId w:val="2"/>
  </w:num>
  <w:num w:numId="11" w16cid:durableId="1372463563">
    <w:abstractNumId w:val="1"/>
  </w:num>
  <w:num w:numId="12" w16cid:durableId="700282145">
    <w:abstractNumId w:val="0"/>
  </w:num>
  <w:num w:numId="13" w16cid:durableId="637998687">
    <w:abstractNumId w:val="10"/>
  </w:num>
  <w:num w:numId="14" w16cid:durableId="1799253314">
    <w:abstractNumId w:val="14"/>
  </w:num>
  <w:num w:numId="15" w16cid:durableId="1306005830">
    <w:abstractNumId w:val="14"/>
  </w:num>
  <w:num w:numId="16" w16cid:durableId="1541820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341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813730">
    <w:abstractNumId w:val="12"/>
  </w:num>
  <w:num w:numId="19" w16cid:durableId="965620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CF"/>
    <w:rsid w:val="00016D9C"/>
    <w:rsid w:val="00024E3D"/>
    <w:rsid w:val="00027FCE"/>
    <w:rsid w:val="000314A4"/>
    <w:rsid w:val="000377C2"/>
    <w:rsid w:val="000522A9"/>
    <w:rsid w:val="00077C0A"/>
    <w:rsid w:val="000A683A"/>
    <w:rsid w:val="000A7737"/>
    <w:rsid w:val="000B299D"/>
    <w:rsid w:val="000C6BAC"/>
    <w:rsid w:val="000C7BF8"/>
    <w:rsid w:val="000D044F"/>
    <w:rsid w:val="000D5C48"/>
    <w:rsid w:val="000F2B83"/>
    <w:rsid w:val="000F31A7"/>
    <w:rsid w:val="00105E1A"/>
    <w:rsid w:val="00107924"/>
    <w:rsid w:val="00117880"/>
    <w:rsid w:val="00133E83"/>
    <w:rsid w:val="00137534"/>
    <w:rsid w:val="00165F24"/>
    <w:rsid w:val="001666F7"/>
    <w:rsid w:val="00182933"/>
    <w:rsid w:val="0018564C"/>
    <w:rsid w:val="001910F8"/>
    <w:rsid w:val="00197A50"/>
    <w:rsid w:val="001A044D"/>
    <w:rsid w:val="001A3950"/>
    <w:rsid w:val="001B518E"/>
    <w:rsid w:val="001E0CE3"/>
    <w:rsid w:val="00215117"/>
    <w:rsid w:val="00237688"/>
    <w:rsid w:val="002458CE"/>
    <w:rsid w:val="00254712"/>
    <w:rsid w:val="002775BF"/>
    <w:rsid w:val="002835B2"/>
    <w:rsid w:val="00286144"/>
    <w:rsid w:val="002B092D"/>
    <w:rsid w:val="002B2878"/>
    <w:rsid w:val="002B3E68"/>
    <w:rsid w:val="002B72EB"/>
    <w:rsid w:val="002D330A"/>
    <w:rsid w:val="002E40C3"/>
    <w:rsid w:val="003019CC"/>
    <w:rsid w:val="00314B04"/>
    <w:rsid w:val="0033137D"/>
    <w:rsid w:val="00341C98"/>
    <w:rsid w:val="00342D83"/>
    <w:rsid w:val="00346C74"/>
    <w:rsid w:val="003563F3"/>
    <w:rsid w:val="003564F2"/>
    <w:rsid w:val="00381E51"/>
    <w:rsid w:val="00397B30"/>
    <w:rsid w:val="003A4988"/>
    <w:rsid w:val="003C4B83"/>
    <w:rsid w:val="003E1CDD"/>
    <w:rsid w:val="003F1CA6"/>
    <w:rsid w:val="003F6600"/>
    <w:rsid w:val="0040241F"/>
    <w:rsid w:val="00420A02"/>
    <w:rsid w:val="0047315F"/>
    <w:rsid w:val="004A1CB2"/>
    <w:rsid w:val="004C6217"/>
    <w:rsid w:val="004E1051"/>
    <w:rsid w:val="004E5989"/>
    <w:rsid w:val="004E5C5D"/>
    <w:rsid w:val="004F5562"/>
    <w:rsid w:val="005057A4"/>
    <w:rsid w:val="0052453A"/>
    <w:rsid w:val="00526FD5"/>
    <w:rsid w:val="00527E08"/>
    <w:rsid w:val="00541934"/>
    <w:rsid w:val="0054215B"/>
    <w:rsid w:val="00546121"/>
    <w:rsid w:val="005645A0"/>
    <w:rsid w:val="00567D29"/>
    <w:rsid w:val="00571218"/>
    <w:rsid w:val="00585A57"/>
    <w:rsid w:val="00585FC9"/>
    <w:rsid w:val="005B67E3"/>
    <w:rsid w:val="005C559A"/>
    <w:rsid w:val="005D6A35"/>
    <w:rsid w:val="005E38B4"/>
    <w:rsid w:val="005F1FC6"/>
    <w:rsid w:val="006250AF"/>
    <w:rsid w:val="00664333"/>
    <w:rsid w:val="00666A5C"/>
    <w:rsid w:val="006A2F1B"/>
    <w:rsid w:val="006A35D5"/>
    <w:rsid w:val="006B0882"/>
    <w:rsid w:val="006C02CB"/>
    <w:rsid w:val="006E5742"/>
    <w:rsid w:val="0076169A"/>
    <w:rsid w:val="00767ADB"/>
    <w:rsid w:val="0077724B"/>
    <w:rsid w:val="007B2B6C"/>
    <w:rsid w:val="007C4B90"/>
    <w:rsid w:val="007C7D9A"/>
    <w:rsid w:val="007D1545"/>
    <w:rsid w:val="007F410E"/>
    <w:rsid w:val="0080184C"/>
    <w:rsid w:val="008069A0"/>
    <w:rsid w:val="00810545"/>
    <w:rsid w:val="00811736"/>
    <w:rsid w:val="00820948"/>
    <w:rsid w:val="00823527"/>
    <w:rsid w:val="00826400"/>
    <w:rsid w:val="008271CF"/>
    <w:rsid w:val="0083506A"/>
    <w:rsid w:val="00863B34"/>
    <w:rsid w:val="00871541"/>
    <w:rsid w:val="0089284F"/>
    <w:rsid w:val="008A71C8"/>
    <w:rsid w:val="008B35AC"/>
    <w:rsid w:val="008C0062"/>
    <w:rsid w:val="008C0C77"/>
    <w:rsid w:val="008C1AD1"/>
    <w:rsid w:val="008D7AEF"/>
    <w:rsid w:val="008E0410"/>
    <w:rsid w:val="008F167D"/>
    <w:rsid w:val="008F2D74"/>
    <w:rsid w:val="0092336A"/>
    <w:rsid w:val="00953B88"/>
    <w:rsid w:val="0098077B"/>
    <w:rsid w:val="009843CD"/>
    <w:rsid w:val="009867D0"/>
    <w:rsid w:val="00987504"/>
    <w:rsid w:val="009A032B"/>
    <w:rsid w:val="009A5E2E"/>
    <w:rsid w:val="009A6EE5"/>
    <w:rsid w:val="009B1F10"/>
    <w:rsid w:val="009B61C9"/>
    <w:rsid w:val="009C4B69"/>
    <w:rsid w:val="009E7B70"/>
    <w:rsid w:val="00A25198"/>
    <w:rsid w:val="00A428A2"/>
    <w:rsid w:val="00A43C06"/>
    <w:rsid w:val="00A61F04"/>
    <w:rsid w:val="00A70C77"/>
    <w:rsid w:val="00A73380"/>
    <w:rsid w:val="00A76938"/>
    <w:rsid w:val="00A81EA3"/>
    <w:rsid w:val="00A86A2A"/>
    <w:rsid w:val="00AA79AA"/>
    <w:rsid w:val="00AC6FA6"/>
    <w:rsid w:val="00AD0FD4"/>
    <w:rsid w:val="00AE0CD1"/>
    <w:rsid w:val="00AE2ADE"/>
    <w:rsid w:val="00B17F33"/>
    <w:rsid w:val="00B217C7"/>
    <w:rsid w:val="00B231F2"/>
    <w:rsid w:val="00B25534"/>
    <w:rsid w:val="00B76E0C"/>
    <w:rsid w:val="00B8017A"/>
    <w:rsid w:val="00B821BB"/>
    <w:rsid w:val="00B97548"/>
    <w:rsid w:val="00BA3F8A"/>
    <w:rsid w:val="00BA7F04"/>
    <w:rsid w:val="00BB297C"/>
    <w:rsid w:val="00BD36D3"/>
    <w:rsid w:val="00BE2D02"/>
    <w:rsid w:val="00BF6DCF"/>
    <w:rsid w:val="00C04EA2"/>
    <w:rsid w:val="00C10179"/>
    <w:rsid w:val="00C23737"/>
    <w:rsid w:val="00C238FD"/>
    <w:rsid w:val="00C357F8"/>
    <w:rsid w:val="00C57756"/>
    <w:rsid w:val="00C65218"/>
    <w:rsid w:val="00C90400"/>
    <w:rsid w:val="00C91D83"/>
    <w:rsid w:val="00CC47DE"/>
    <w:rsid w:val="00CE0957"/>
    <w:rsid w:val="00CE618B"/>
    <w:rsid w:val="00CE79B8"/>
    <w:rsid w:val="00CF19CA"/>
    <w:rsid w:val="00CF2F22"/>
    <w:rsid w:val="00D03135"/>
    <w:rsid w:val="00D05BE4"/>
    <w:rsid w:val="00D148C8"/>
    <w:rsid w:val="00D149F8"/>
    <w:rsid w:val="00D15BBD"/>
    <w:rsid w:val="00D462FA"/>
    <w:rsid w:val="00D5573F"/>
    <w:rsid w:val="00D6156A"/>
    <w:rsid w:val="00D63072"/>
    <w:rsid w:val="00D64F71"/>
    <w:rsid w:val="00D930BE"/>
    <w:rsid w:val="00DA1C24"/>
    <w:rsid w:val="00DC386E"/>
    <w:rsid w:val="00DE5077"/>
    <w:rsid w:val="00DE6C18"/>
    <w:rsid w:val="00E02FF4"/>
    <w:rsid w:val="00E36A43"/>
    <w:rsid w:val="00E76391"/>
    <w:rsid w:val="00E80071"/>
    <w:rsid w:val="00E86DF3"/>
    <w:rsid w:val="00EA09AC"/>
    <w:rsid w:val="00EA0DFA"/>
    <w:rsid w:val="00EA2FD4"/>
    <w:rsid w:val="00EC1ED4"/>
    <w:rsid w:val="00ED51B1"/>
    <w:rsid w:val="00EF4DBD"/>
    <w:rsid w:val="00F37459"/>
    <w:rsid w:val="00F5098B"/>
    <w:rsid w:val="00F56F29"/>
    <w:rsid w:val="00F6077F"/>
    <w:rsid w:val="00F72418"/>
    <w:rsid w:val="00F779AE"/>
    <w:rsid w:val="00F77FD6"/>
    <w:rsid w:val="00F84A56"/>
    <w:rsid w:val="00F85D65"/>
    <w:rsid w:val="00F945C5"/>
    <w:rsid w:val="00FB163F"/>
    <w:rsid w:val="00FB1757"/>
    <w:rsid w:val="00FC6BD3"/>
    <w:rsid w:val="00FD2A6C"/>
    <w:rsid w:val="00FD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4FCC"/>
  <w15:docId w15:val="{A551316F-63CD-43F1-A735-E371A661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88"/>
    <w:rPr>
      <w:rFonts w:ascii="Segoe UI" w:hAnsi="Segoe UI"/>
      <w:color w:val="000000" w:themeColor="text1"/>
      <w:spacing w:val="-2"/>
      <w:kern w:val="2"/>
      <w14:ligatures w14:val="historicalDiscretional"/>
      <w14:numForm w14:val="oldStyle"/>
      <w14:numSpacing w14:val="proportional"/>
    </w:rPr>
  </w:style>
  <w:style w:type="paragraph" w:styleId="Heading1">
    <w:name w:val="heading 1"/>
    <w:basedOn w:val="Normal"/>
    <w:next w:val="Normal"/>
    <w:link w:val="Heading1Char"/>
    <w:uiPriority w:val="9"/>
    <w:qFormat/>
    <w:rsid w:val="00C90400"/>
    <w:pPr>
      <w:keepNext/>
      <w:keepLines/>
      <w:spacing w:before="240" w:after="0"/>
      <w:outlineLvl w:val="0"/>
    </w:pPr>
    <w:rPr>
      <w:rFonts w:eastAsiaTheme="majorEastAsia" w:cstheme="majorBidi"/>
      <w:color w:val="2F5496" w:themeColor="accent1" w:themeShade="BF"/>
      <w:sz w:val="48"/>
      <w:szCs w:val="48"/>
    </w:rPr>
  </w:style>
  <w:style w:type="paragraph" w:styleId="Heading2">
    <w:name w:val="heading 2"/>
    <w:basedOn w:val="Normal"/>
    <w:next w:val="Normal"/>
    <w:link w:val="Heading2Char"/>
    <w:autoRedefine/>
    <w:uiPriority w:val="9"/>
    <w:unhideWhenUsed/>
    <w:qFormat/>
    <w:rsid w:val="004E5C5D"/>
    <w:pPr>
      <w:pBdr>
        <w:bottom w:val="single" w:sz="6" w:space="1" w:color="auto"/>
      </w:pBdr>
      <w:spacing w:before="360" w:after="240" w:line="240" w:lineRule="auto"/>
      <w:contextualSpacing/>
      <w:outlineLvl w:val="1"/>
    </w:pPr>
    <w:rPr>
      <w:color w:val="003761"/>
      <w:spacing w:val="-4"/>
      <w:sz w:val="40"/>
      <w:lang w:val="en-CA"/>
    </w:rPr>
  </w:style>
  <w:style w:type="paragraph" w:styleId="Heading3">
    <w:name w:val="heading 3"/>
    <w:basedOn w:val="Normal"/>
    <w:next w:val="Normal"/>
    <w:link w:val="Heading3Char"/>
    <w:uiPriority w:val="9"/>
    <w:unhideWhenUsed/>
    <w:qFormat/>
    <w:rsid w:val="003E1CDD"/>
    <w:pPr>
      <w:keepNext/>
      <w:keepLines/>
      <w:spacing w:before="360" w:after="80"/>
      <w:ind w:left="2160"/>
      <w:outlineLvl w:val="2"/>
    </w:pPr>
    <w:rPr>
      <w:rFonts w:eastAsiaTheme="majorEastAsia" w:cstheme="majorBidi"/>
      <w:b/>
      <w:color w:val="595959" w:themeColor="text1" w:themeTint="A6"/>
      <w:sz w:val="28"/>
      <w:szCs w:val="24"/>
    </w:rPr>
  </w:style>
  <w:style w:type="paragraph" w:styleId="Heading4">
    <w:name w:val="heading 4"/>
    <w:basedOn w:val="Heading3"/>
    <w:next w:val="Normal"/>
    <w:link w:val="Heading4Char"/>
    <w:uiPriority w:val="9"/>
    <w:unhideWhenUsed/>
    <w:qFormat/>
    <w:rsid w:val="00237688"/>
    <w:pPr>
      <w:spacing w:before="160"/>
      <w:outlineLvl w:val="3"/>
    </w:pPr>
    <w:rPr>
      <w:iCs/>
      <w:color w:val="000000" w:themeColor="text1"/>
      <w:sz w:val="24"/>
    </w:rPr>
  </w:style>
  <w:style w:type="paragraph" w:styleId="Heading5">
    <w:name w:val="heading 5"/>
    <w:basedOn w:val="Normal"/>
    <w:next w:val="Normal"/>
    <w:link w:val="Heading5Char"/>
    <w:uiPriority w:val="9"/>
    <w:unhideWhenUsed/>
    <w:qFormat/>
    <w:rsid w:val="007C4B90"/>
    <w:pPr>
      <w:keepNext/>
      <w:keepLines/>
      <w:spacing w:before="360" w:after="80"/>
      <w:ind w:left="2160"/>
      <w:outlineLvl w:val="4"/>
    </w:pPr>
    <w:rPr>
      <w:rFonts w:eastAsiaTheme="majorEastAsia"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7ADB"/>
    <w:pPr>
      <w:spacing w:before="240" w:after="120" w:line="240" w:lineRule="auto"/>
      <w:contextualSpacing/>
    </w:pPr>
    <w:rPr>
      <w:rFonts w:eastAsiaTheme="majorEastAsia" w:cstheme="majorBidi"/>
      <w:sz w:val="72"/>
      <w:szCs w:val="56"/>
    </w:rPr>
  </w:style>
  <w:style w:type="character" w:customStyle="1" w:styleId="TitleChar">
    <w:name w:val="Title Char"/>
    <w:basedOn w:val="DefaultParagraphFont"/>
    <w:link w:val="Title"/>
    <w:uiPriority w:val="10"/>
    <w:rsid w:val="00767ADB"/>
    <w:rPr>
      <w:rFonts w:ascii="Segoe UI" w:eastAsiaTheme="majorEastAsia" w:hAnsi="Segoe UI" w:cstheme="majorBidi"/>
      <w:spacing w:val="-2"/>
      <w:kern w:val="2"/>
      <w:sz w:val="72"/>
      <w:szCs w:val="56"/>
      <w14:ligatures w14:val="historicalDiscretional"/>
      <w14:numForm w14:val="oldStyle"/>
      <w14:numSpacing w14:val="proportional"/>
    </w:rPr>
  </w:style>
  <w:style w:type="character" w:styleId="PlaceholderText">
    <w:name w:val="Placeholder Text"/>
    <w:basedOn w:val="DefaultParagraphFont"/>
    <w:uiPriority w:val="99"/>
    <w:semiHidden/>
    <w:rsid w:val="00767ADB"/>
    <w:rPr>
      <w:color w:val="808080"/>
    </w:rPr>
  </w:style>
  <w:style w:type="paragraph" w:styleId="Header">
    <w:name w:val="header"/>
    <w:basedOn w:val="Normal"/>
    <w:link w:val="HeaderChar"/>
    <w:uiPriority w:val="99"/>
    <w:unhideWhenUsed/>
    <w:rsid w:val="00767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DB"/>
    <w:rPr>
      <w:rFonts w:ascii="Segoe UI" w:hAnsi="Segoe UI"/>
      <w:spacing w:val="-2"/>
      <w:kern w:val="2"/>
      <w14:ligatures w14:val="historicalDiscretional"/>
      <w14:numForm w14:val="oldStyle"/>
      <w14:numSpacing w14:val="proportional"/>
    </w:rPr>
  </w:style>
  <w:style w:type="paragraph" w:styleId="Footer">
    <w:name w:val="footer"/>
    <w:basedOn w:val="Normal"/>
    <w:link w:val="FooterChar"/>
    <w:uiPriority w:val="99"/>
    <w:unhideWhenUsed/>
    <w:rsid w:val="00767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DB"/>
    <w:rPr>
      <w:rFonts w:ascii="Segoe UI" w:hAnsi="Segoe UI"/>
      <w:spacing w:val="-2"/>
      <w:kern w:val="2"/>
      <w14:ligatures w14:val="historicalDiscretional"/>
      <w14:numForm w14:val="oldStyle"/>
      <w14:numSpacing w14:val="proportional"/>
    </w:rPr>
  </w:style>
  <w:style w:type="character" w:customStyle="1" w:styleId="Heading2Char">
    <w:name w:val="Heading 2 Char"/>
    <w:basedOn w:val="DefaultParagraphFont"/>
    <w:link w:val="Heading2"/>
    <w:uiPriority w:val="9"/>
    <w:rsid w:val="004E5C5D"/>
    <w:rPr>
      <w:rFonts w:ascii="Segoe UI" w:hAnsi="Segoe UI"/>
      <w:color w:val="003761"/>
      <w:spacing w:val="-4"/>
      <w:kern w:val="2"/>
      <w:sz w:val="40"/>
      <w:lang w:val="en-CA"/>
      <w14:ligatures w14:val="historicalDiscretional"/>
      <w14:numForm w14:val="oldStyle"/>
      <w14:numSpacing w14:val="proportional"/>
    </w:rPr>
  </w:style>
  <w:style w:type="character" w:customStyle="1" w:styleId="Heading1Char">
    <w:name w:val="Heading 1 Char"/>
    <w:basedOn w:val="DefaultParagraphFont"/>
    <w:link w:val="Heading1"/>
    <w:uiPriority w:val="9"/>
    <w:rsid w:val="00C90400"/>
    <w:rPr>
      <w:rFonts w:ascii="Segoe UI" w:eastAsiaTheme="majorEastAsia" w:hAnsi="Segoe UI" w:cstheme="majorBidi"/>
      <w:color w:val="2F5496" w:themeColor="accent1" w:themeShade="BF"/>
      <w:spacing w:val="-2"/>
      <w:kern w:val="2"/>
      <w:sz w:val="48"/>
      <w:szCs w:val="48"/>
      <w14:ligatures w14:val="historicalDiscretional"/>
      <w14:numForm w14:val="oldStyle"/>
      <w14:numSpacing w14:val="proportional"/>
    </w:rPr>
  </w:style>
  <w:style w:type="paragraph" w:styleId="TOCHeading">
    <w:name w:val="TOC Heading"/>
    <w:basedOn w:val="Heading1"/>
    <w:next w:val="Normal"/>
    <w:uiPriority w:val="39"/>
    <w:unhideWhenUsed/>
    <w:qFormat/>
    <w:rsid w:val="00F77FD6"/>
    <w:pPr>
      <w:outlineLvl w:val="9"/>
    </w:pPr>
    <w:rPr>
      <w:spacing w:val="0"/>
      <w:kern w:val="0"/>
    </w:rPr>
  </w:style>
  <w:style w:type="paragraph" w:styleId="TOC2">
    <w:name w:val="toc 2"/>
    <w:basedOn w:val="Normal"/>
    <w:next w:val="Normal"/>
    <w:autoRedefine/>
    <w:uiPriority w:val="39"/>
    <w:unhideWhenUsed/>
    <w:rsid w:val="00F77FD6"/>
    <w:pPr>
      <w:spacing w:after="100"/>
      <w:ind w:left="220"/>
    </w:pPr>
  </w:style>
  <w:style w:type="character" w:styleId="Hyperlink">
    <w:name w:val="Hyperlink"/>
    <w:basedOn w:val="DefaultParagraphFont"/>
    <w:uiPriority w:val="99"/>
    <w:unhideWhenUsed/>
    <w:rsid w:val="00F77FD6"/>
    <w:rPr>
      <w:color w:val="0563C1" w:themeColor="hyperlink"/>
      <w:u w:val="single"/>
    </w:rPr>
  </w:style>
  <w:style w:type="paragraph" w:styleId="FootnoteText">
    <w:name w:val="footnote text"/>
    <w:basedOn w:val="Normal"/>
    <w:link w:val="FootnoteTextChar"/>
    <w:uiPriority w:val="99"/>
    <w:unhideWhenUsed/>
    <w:rsid w:val="00F77FD6"/>
    <w:pPr>
      <w:spacing w:after="0" w:line="240" w:lineRule="auto"/>
      <w:ind w:left="2160"/>
    </w:pPr>
    <w:rPr>
      <w:spacing w:val="0"/>
      <w:kern w:val="0"/>
      <w:sz w:val="18"/>
      <w:szCs w:val="20"/>
      <w:lang w:val="en-CA"/>
    </w:rPr>
  </w:style>
  <w:style w:type="paragraph" w:styleId="TOC1">
    <w:name w:val="toc 1"/>
    <w:basedOn w:val="Normal"/>
    <w:next w:val="Normal"/>
    <w:autoRedefine/>
    <w:uiPriority w:val="39"/>
    <w:unhideWhenUsed/>
    <w:rsid w:val="00F77FD6"/>
    <w:pPr>
      <w:spacing w:after="100"/>
      <w:ind w:left="720"/>
    </w:pPr>
  </w:style>
  <w:style w:type="character" w:customStyle="1" w:styleId="FootnoteTextChar">
    <w:name w:val="Footnote Text Char"/>
    <w:basedOn w:val="DefaultParagraphFont"/>
    <w:link w:val="FootnoteText"/>
    <w:uiPriority w:val="99"/>
    <w:rsid w:val="00F77FD6"/>
    <w:rPr>
      <w:rFonts w:ascii="Segoe UI" w:hAnsi="Segoe UI"/>
      <w:sz w:val="18"/>
      <w:szCs w:val="20"/>
      <w:lang w:val="en-CA"/>
      <w14:ligatures w14:val="historicalDiscretional"/>
      <w14:numForm w14:val="oldStyle"/>
      <w14:numSpacing w14:val="proportional"/>
    </w:rPr>
  </w:style>
  <w:style w:type="character" w:styleId="FootnoteReference">
    <w:name w:val="footnote reference"/>
    <w:basedOn w:val="DefaultParagraphFont"/>
    <w:uiPriority w:val="99"/>
    <w:semiHidden/>
    <w:unhideWhenUsed/>
    <w:rsid w:val="00F77FD6"/>
    <w:rPr>
      <w:vertAlign w:val="superscript"/>
    </w:rPr>
  </w:style>
  <w:style w:type="character" w:customStyle="1" w:styleId="Heading3Char">
    <w:name w:val="Heading 3 Char"/>
    <w:basedOn w:val="DefaultParagraphFont"/>
    <w:link w:val="Heading3"/>
    <w:uiPriority w:val="9"/>
    <w:rsid w:val="003E1CDD"/>
    <w:rPr>
      <w:rFonts w:ascii="Segoe UI" w:eastAsiaTheme="majorEastAsia" w:hAnsi="Segoe UI" w:cstheme="majorBidi"/>
      <w:b/>
      <w:color w:val="595959" w:themeColor="text1" w:themeTint="A6"/>
      <w:spacing w:val="-2"/>
      <w:kern w:val="2"/>
      <w:sz w:val="28"/>
      <w:szCs w:val="24"/>
      <w14:ligatures w14:val="historicalDiscretional"/>
      <w14:numForm w14:val="oldStyle"/>
      <w14:numSpacing w14:val="proportional"/>
    </w:rPr>
  </w:style>
  <w:style w:type="paragraph" w:styleId="ListParagraph">
    <w:name w:val="List Paragraph"/>
    <w:basedOn w:val="Normal"/>
    <w:uiPriority w:val="34"/>
    <w:qFormat/>
    <w:rsid w:val="00F77FD6"/>
    <w:pPr>
      <w:ind w:left="720"/>
      <w:contextualSpacing/>
    </w:pPr>
  </w:style>
  <w:style w:type="character" w:customStyle="1" w:styleId="Heading4Char">
    <w:name w:val="Heading 4 Char"/>
    <w:basedOn w:val="DefaultParagraphFont"/>
    <w:link w:val="Heading4"/>
    <w:uiPriority w:val="9"/>
    <w:rsid w:val="00237688"/>
    <w:rPr>
      <w:rFonts w:ascii="Segoe UI" w:eastAsiaTheme="majorEastAsia" w:hAnsi="Segoe UI" w:cstheme="majorBidi"/>
      <w:b/>
      <w:iCs/>
      <w:color w:val="000000" w:themeColor="text1"/>
      <w:spacing w:val="-2"/>
      <w:kern w:val="2"/>
      <w:sz w:val="24"/>
      <w:szCs w:val="24"/>
      <w14:ligatures w14:val="historicalDiscretional"/>
      <w14:numForm w14:val="oldStyle"/>
      <w14:numSpacing w14:val="proportional"/>
    </w:rPr>
  </w:style>
  <w:style w:type="paragraph" w:styleId="BodyTextIndent">
    <w:name w:val="Body Text Indent"/>
    <w:basedOn w:val="Normal"/>
    <w:link w:val="BodyTextIndentChar"/>
    <w:uiPriority w:val="99"/>
    <w:unhideWhenUsed/>
    <w:rsid w:val="00117880"/>
    <w:pPr>
      <w:spacing w:after="120"/>
      <w:ind w:left="2160"/>
    </w:pPr>
    <w:rPr>
      <w:lang w:val="en-CA"/>
    </w:rPr>
  </w:style>
  <w:style w:type="character" w:customStyle="1" w:styleId="BodyTextIndentChar">
    <w:name w:val="Body Text Indent Char"/>
    <w:basedOn w:val="DefaultParagraphFont"/>
    <w:link w:val="BodyTextIndent"/>
    <w:uiPriority w:val="99"/>
    <w:rsid w:val="00117880"/>
    <w:rPr>
      <w:rFonts w:ascii="Segoe UI" w:hAnsi="Segoe UI"/>
      <w:spacing w:val="-2"/>
      <w:kern w:val="2"/>
      <w:lang w:val="en-CA"/>
      <w14:ligatures w14:val="historicalDiscretional"/>
      <w14:numForm w14:val="oldStyle"/>
      <w14:numSpacing w14:val="proportional"/>
    </w:rPr>
  </w:style>
  <w:style w:type="table" w:styleId="TableGrid">
    <w:name w:val="Table Grid"/>
    <w:basedOn w:val="TableNormal"/>
    <w:uiPriority w:val="39"/>
    <w:rsid w:val="00237688"/>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559A"/>
    <w:pPr>
      <w:autoSpaceDE w:val="0"/>
      <w:autoSpaceDN w:val="0"/>
      <w:adjustRightInd w:val="0"/>
      <w:spacing w:after="0" w:line="240" w:lineRule="auto"/>
    </w:pPr>
    <w:rPr>
      <w:rFonts w:ascii="Segoe UI" w:hAnsi="Segoe UI" w:cs="Calibri"/>
      <w:color w:val="000000"/>
      <w:sz w:val="24"/>
      <w:szCs w:val="24"/>
    </w:rPr>
  </w:style>
  <w:style w:type="character" w:customStyle="1" w:styleId="Heading5Char">
    <w:name w:val="Heading 5 Char"/>
    <w:basedOn w:val="DefaultParagraphFont"/>
    <w:link w:val="Heading5"/>
    <w:uiPriority w:val="9"/>
    <w:rsid w:val="007C4B90"/>
    <w:rPr>
      <w:rFonts w:ascii="Segoe UI" w:eastAsiaTheme="majorEastAsia" w:hAnsi="Segoe UI" w:cstheme="majorBidi"/>
      <w:color w:val="2F5496" w:themeColor="accent1" w:themeShade="BF"/>
      <w:spacing w:val="-2"/>
      <w:kern w:val="2"/>
      <w:sz w:val="24"/>
      <w14:ligatures w14:val="historicalDiscretional"/>
      <w14:numForm w14:val="oldStyle"/>
      <w14:numSpacing w14:val="proportional"/>
    </w:rPr>
  </w:style>
  <w:style w:type="paragraph" w:styleId="NormalWeb">
    <w:name w:val="Normal (Web)"/>
    <w:basedOn w:val="Normal"/>
    <w:uiPriority w:val="99"/>
    <w:semiHidden/>
    <w:unhideWhenUsed/>
    <w:rsid w:val="00FC6BD3"/>
    <w:pPr>
      <w:spacing w:before="100" w:beforeAutospacing="1" w:after="100" w:afterAutospacing="1" w:line="240" w:lineRule="auto"/>
    </w:pPr>
    <w:rPr>
      <w:rFonts w:ascii="Times New Roman" w:eastAsia="Times New Roman" w:hAnsi="Times New Roman" w:cs="Times New Roman"/>
      <w:spacing w:val="0"/>
      <w:kern w:val="0"/>
      <w:sz w:val="24"/>
      <w:szCs w:val="24"/>
    </w:rPr>
  </w:style>
  <w:style w:type="paragraph" w:customStyle="1" w:styleId="Bulletedlist">
    <w:name w:val="Bulleted list"/>
    <w:basedOn w:val="Normal"/>
    <w:qFormat/>
    <w:rsid w:val="005C559A"/>
    <w:pPr>
      <w:numPr>
        <w:numId w:val="13"/>
      </w:numPr>
      <w:spacing w:before="120" w:after="80" w:line="360" w:lineRule="exact"/>
    </w:pPr>
    <w:rPr>
      <w:rFonts w:eastAsia="Times New Roman" w:cs="Times New Roman"/>
      <w:szCs w:val="24"/>
      <w:lang w:val="en-CA"/>
    </w:rPr>
  </w:style>
  <w:style w:type="character" w:customStyle="1" w:styleId="Bold">
    <w:name w:val="Bold"/>
    <w:basedOn w:val="DefaultParagraphFont"/>
    <w:qFormat/>
    <w:rsid w:val="00567D29"/>
    <w:rPr>
      <w:b/>
      <w:bCs/>
    </w:rPr>
  </w:style>
  <w:style w:type="paragraph" w:customStyle="1" w:styleId="Numberedlist">
    <w:name w:val="Numbered list"/>
    <w:basedOn w:val="Bulletedlist"/>
    <w:qFormat/>
    <w:rsid w:val="00567D29"/>
    <w:pPr>
      <w:numPr>
        <w:numId w:val="14"/>
      </w:numPr>
      <w:ind w:left="2610"/>
    </w:pPr>
  </w:style>
  <w:style w:type="character" w:customStyle="1" w:styleId="Italic">
    <w:name w:val="Italic"/>
    <w:basedOn w:val="DefaultParagraphFont"/>
    <w:qFormat/>
    <w:rsid w:val="005C559A"/>
    <w:rPr>
      <w:rFonts w:ascii="Segoe UI" w:hAnsi="Segoe UI"/>
      <w:i/>
      <w:iCs/>
    </w:rPr>
  </w:style>
  <w:style w:type="character" w:customStyle="1" w:styleId="Superscript">
    <w:name w:val="Superscript"/>
    <w:basedOn w:val="DefaultParagraphFont"/>
    <w:qFormat/>
    <w:rsid w:val="00567D29"/>
    <w:rPr>
      <w:sz w:val="24"/>
      <w:vertAlign w:val="superscript"/>
    </w:rPr>
  </w:style>
  <w:style w:type="character" w:customStyle="1" w:styleId="Subscript">
    <w:name w:val="Subscript"/>
    <w:basedOn w:val="DefaultParagraphFont"/>
    <w:qFormat/>
    <w:rsid w:val="00567D29"/>
    <w:rPr>
      <w:position w:val="-4"/>
      <w:sz w:val="24"/>
      <w:vertAlign w:val="subscript"/>
    </w:rPr>
  </w:style>
  <w:style w:type="paragraph" w:styleId="Caption">
    <w:name w:val="caption"/>
    <w:basedOn w:val="BodyTextIndent"/>
    <w:next w:val="Normal"/>
    <w:uiPriority w:val="35"/>
    <w:unhideWhenUsed/>
    <w:qFormat/>
    <w:rsid w:val="002458CE"/>
    <w:pPr>
      <w:spacing w:line="360" w:lineRule="auto"/>
      <w:ind w:left="0"/>
    </w:pPr>
    <w:rPr>
      <w:b/>
      <w:bCs/>
      <w:i/>
      <w:iCs/>
    </w:rPr>
  </w:style>
  <w:style w:type="table" w:styleId="GridTable1Light">
    <w:name w:val="Grid Table 1 Light"/>
    <w:basedOn w:val="TableNormal"/>
    <w:uiPriority w:val="46"/>
    <w:rsid w:val="00027F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Authorities">
    <w:name w:val="table of authorities"/>
    <w:basedOn w:val="Normal"/>
    <w:next w:val="Normal"/>
    <w:uiPriority w:val="99"/>
    <w:unhideWhenUsed/>
    <w:rsid w:val="00027FCE"/>
    <w:pPr>
      <w:framePr w:hSpace="180" w:wrap="around" w:vAnchor="text" w:hAnchor="page" w:x="1150" w:y="539"/>
      <w:spacing w:after="0" w:line="240" w:lineRule="auto"/>
    </w:pPr>
    <w:rPr>
      <w:lang w:val="en-CA"/>
    </w:rPr>
  </w:style>
  <w:style w:type="character" w:styleId="UnresolvedMention">
    <w:name w:val="Unresolved Mention"/>
    <w:basedOn w:val="DefaultParagraphFont"/>
    <w:uiPriority w:val="99"/>
    <w:semiHidden/>
    <w:unhideWhenUsed/>
    <w:rsid w:val="00B17F33"/>
    <w:rPr>
      <w:color w:val="605E5C"/>
      <w:shd w:val="clear" w:color="auto" w:fill="E1DFDD"/>
    </w:rPr>
  </w:style>
  <w:style w:type="character" w:styleId="CommentReference">
    <w:name w:val="annotation reference"/>
    <w:basedOn w:val="DefaultParagraphFont"/>
    <w:uiPriority w:val="99"/>
    <w:semiHidden/>
    <w:unhideWhenUsed/>
    <w:rsid w:val="005B67E3"/>
    <w:rPr>
      <w:sz w:val="16"/>
      <w:szCs w:val="16"/>
    </w:rPr>
  </w:style>
  <w:style w:type="paragraph" w:styleId="CommentText">
    <w:name w:val="annotation text"/>
    <w:basedOn w:val="Normal"/>
    <w:link w:val="CommentTextChar"/>
    <w:uiPriority w:val="99"/>
    <w:unhideWhenUsed/>
    <w:rsid w:val="005B67E3"/>
    <w:pPr>
      <w:spacing w:line="240" w:lineRule="auto"/>
    </w:pPr>
    <w:rPr>
      <w:sz w:val="20"/>
      <w:szCs w:val="20"/>
    </w:rPr>
  </w:style>
  <w:style w:type="character" w:customStyle="1" w:styleId="CommentTextChar">
    <w:name w:val="Comment Text Char"/>
    <w:basedOn w:val="DefaultParagraphFont"/>
    <w:link w:val="CommentText"/>
    <w:uiPriority w:val="99"/>
    <w:rsid w:val="005B67E3"/>
    <w:rPr>
      <w:rFonts w:ascii="Segoe UI" w:hAnsi="Segoe UI"/>
      <w:color w:val="000000" w:themeColor="text1"/>
      <w:spacing w:val="-2"/>
      <w:kern w:val="2"/>
      <w:sz w:val="20"/>
      <w:szCs w:val="20"/>
      <w14:ligatures w14:val="historicalDiscretional"/>
      <w14:numForm w14:val="oldStyle"/>
      <w14:numSpacing w14:val="proportional"/>
    </w:rPr>
  </w:style>
  <w:style w:type="paragraph" w:styleId="CommentSubject">
    <w:name w:val="annotation subject"/>
    <w:basedOn w:val="CommentText"/>
    <w:next w:val="CommentText"/>
    <w:link w:val="CommentSubjectChar"/>
    <w:uiPriority w:val="99"/>
    <w:semiHidden/>
    <w:unhideWhenUsed/>
    <w:rsid w:val="005B67E3"/>
    <w:rPr>
      <w:b/>
      <w:bCs/>
    </w:rPr>
  </w:style>
  <w:style w:type="character" w:customStyle="1" w:styleId="CommentSubjectChar">
    <w:name w:val="Comment Subject Char"/>
    <w:basedOn w:val="CommentTextChar"/>
    <w:link w:val="CommentSubject"/>
    <w:uiPriority w:val="99"/>
    <w:semiHidden/>
    <w:rsid w:val="005B67E3"/>
    <w:rPr>
      <w:rFonts w:ascii="Segoe UI" w:hAnsi="Segoe UI"/>
      <w:b/>
      <w:bCs/>
      <w:color w:val="000000" w:themeColor="text1"/>
      <w:spacing w:val="-2"/>
      <w:kern w:val="2"/>
      <w:sz w:val="20"/>
      <w:szCs w:val="20"/>
      <w14:ligatures w14:val="historicalDiscretional"/>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446">
      <w:bodyDiv w:val="1"/>
      <w:marLeft w:val="0"/>
      <w:marRight w:val="0"/>
      <w:marTop w:val="0"/>
      <w:marBottom w:val="0"/>
      <w:divBdr>
        <w:top w:val="none" w:sz="0" w:space="0" w:color="auto"/>
        <w:left w:val="none" w:sz="0" w:space="0" w:color="auto"/>
        <w:bottom w:val="none" w:sz="0" w:space="0" w:color="auto"/>
        <w:right w:val="none" w:sz="0" w:space="0" w:color="auto"/>
      </w:divBdr>
    </w:div>
    <w:div w:id="1520968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d-group.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150.statcan.gc.ca/n1/pub/89-654-x/89-654-x2021002-eng.htm.%20" TargetMode="External"/><Relationship Id="rId1" Type="http://schemas.openxmlformats.org/officeDocument/2006/relationships/hyperlink" Target="https://makeitfable.com/article/insights-the-state-of-online-shopping-for-people-with-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C213-1139-4D53-B528-A5481F09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 TITLE!</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TITLE!</dc:title>
  <dc:subject/>
  <dc:creator>Khadija Mogri</dc:creator>
  <cp:keywords/>
  <dc:description/>
  <cp:lastModifiedBy>Mark Winward</cp:lastModifiedBy>
  <cp:revision>4</cp:revision>
  <dcterms:created xsi:type="dcterms:W3CDTF">2025-09-22T18:24:00Z</dcterms:created>
  <dcterms:modified xsi:type="dcterms:W3CDTF">2025-09-26T13:41:00Z</dcterms:modified>
</cp:coreProperties>
</file>